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8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25470">
            <w:pPr>
              <w:jc w:val="center"/>
              <w:rPr>
                <w:rFonts w:eastAsia="Times New Roman"/>
                <w:caps/>
              </w:rPr>
            </w:pPr>
            <w:r>
              <w:rPr>
                <w:rFonts w:eastAsia="Times New Roman"/>
                <w:b/>
                <w:bCs/>
                <w:caps/>
              </w:rPr>
              <w:t>CONVENÇÃO COLETIVA DE TRABALHO 2009/2011</w:t>
            </w:r>
            <w:r>
              <w:rPr>
                <w:rFonts w:eastAsia="Times New Roman"/>
                <w:b/>
                <w:bCs/>
                <w:caps/>
              </w:rPr>
              <w:br/>
            </w:r>
            <w:r>
              <w:rPr>
                <w:rFonts w:eastAsia="Times New Roman"/>
                <w:b/>
                <w:bCs/>
                <w:caps/>
              </w:rPr>
              <w:br/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96"/>
              <w:gridCol w:w="2322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254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NÚMERO DE REGISTRO NO MTE: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254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RS000345/2011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254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DATA DE REGISTRO NO MTE: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254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15/03/2011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254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NÚMERO DA SOLICITAÇÃO: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254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MR008394/2011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254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NÚMERO DO PROCESSO: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254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46218.003167/2011-49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254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DATA DO PROTOCOLO: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254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04/03/2011</w:t>
                  </w:r>
                </w:p>
              </w:tc>
            </w:tr>
          </w:tbl>
          <w:p w:rsidR="00000000" w:rsidRDefault="0032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18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25470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00000" w:rsidRDefault="003254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SINDICATO DOS EMPREGADOS NO COMERCIO DE SAO GABRIEL, CNPJ n. 89.498.356/0001-00, neste ato representado(a) por seu Procurador, Sr(a). VALDEMIR DE ANDRADE JOBIM;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t>E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t>SINDICATO DO COM VAREJ DE PROD FARMACEUTICOS NO EST RGS, CNPJ n. 92.963.87</w:t>
                  </w:r>
                  <w:r>
                    <w:rPr>
                      <w:rFonts w:eastAsia="Times New Roman"/>
                    </w:rPr>
                    <w:t>5/0001-07, neste ato representado(a) por seu Procurador, Sr(a). ANTONIO JOB BARRETO;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t>SINDICATO DOS ESTABELECIMENTOS DE SERVICOS FUNERARIOS DO ESTADO DO RS, CNPJ n. 89.948.905/0001-00, neste ato representado(a) por seu Procurador, Sr(a). ANTONIO JOB BARRETO</w:t>
                  </w:r>
                  <w:r>
                    <w:rPr>
                      <w:rFonts w:eastAsia="Times New Roman"/>
                    </w:rPr>
                    <w:t>;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t>SINDICATO INTERMUNICIPAL DO COMERCIO VAREJISTA DE GENEROS ALIMENTICIOS DO ESTADO DO RIO GRANDE DO SUL, CNPJ n. 90.818.667/0001-99, neste ato representado(a) por seu Procurador, Sr(a). ANTONIO JOB BARRETO;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t>celebram a presente CONVENÇÃO COLETIVA DE TRABALH</w:t>
                  </w:r>
                  <w:r>
                    <w:rPr>
                      <w:rFonts w:eastAsia="Times New Roman"/>
                    </w:rPr>
                    <w:t xml:space="preserve">O, estipulando as condições de trabalho previstas nas cláusulas seguintes: 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PRIMEIRA - VIGÊNCIA E DATA-BAS</w:t>
                  </w:r>
                  <w:r>
                    <w:rPr>
                      <w:rFonts w:eastAsia="Times New Roman"/>
                      <w:b/>
                      <w:bCs/>
                    </w:rPr>
                    <w:t>E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t>As partes fixam a vigência da presente Convenção Coletiva de Trabalho no período de 1º de junho de 2009 a 31 de maio de 2011 e a data-base</w:t>
                  </w:r>
                  <w:r>
                    <w:rPr>
                      <w:rFonts w:eastAsia="Times New Roman"/>
                    </w:rPr>
                    <w:t xml:space="preserve"> da categoria em 1º de junho</w:t>
                  </w:r>
                  <w:r>
                    <w:rPr>
                      <w:rFonts w:eastAsia="Times New Roman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SEGUNDA - ABRANGÊNCI</w:t>
                  </w:r>
                  <w:r>
                    <w:rPr>
                      <w:rFonts w:eastAsia="Times New Roman"/>
                      <w:b/>
                      <w:bCs/>
                    </w:rPr>
                    <w:t>A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t xml:space="preserve">A presente Convenção Coletiva de Trabalho abrangerá a(s) categoria(s) </w:t>
                  </w:r>
                  <w:r>
                    <w:rPr>
                      <w:rFonts w:eastAsia="Times New Roman"/>
                      <w:b/>
                      <w:bCs/>
                    </w:rPr>
                    <w:t>Empregados no Comércio Varejista de Produtos Farmacêuticos, serviços funerários e comércio varejista de gêneros alimentícios</w:t>
                  </w:r>
                  <w:r>
                    <w:rPr>
                      <w:rFonts w:eastAsia="Times New Roman"/>
                    </w:rPr>
                    <w:t>,</w:t>
                  </w:r>
                  <w:r>
                    <w:rPr>
                      <w:rFonts w:eastAsia="Times New Roman"/>
                    </w:rPr>
                    <w:t xml:space="preserve"> com abrangência territorial em </w:t>
                  </w:r>
                  <w:r>
                    <w:rPr>
                      <w:rFonts w:eastAsia="Times New Roman"/>
                      <w:b/>
                      <w:bCs/>
                    </w:rPr>
                    <w:t>Cacequi/RS</w:t>
                  </w:r>
                  <w:r>
                    <w:rPr>
                      <w:rFonts w:eastAsia="Times New Roman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Salários, Reajustes e Pagamento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Piso Salarial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TERCEIRA - SALÁRIOS MÍNIMOS PROFISSIONAI</w:t>
                  </w:r>
                  <w:r>
                    <w:rPr>
                      <w:rFonts w:eastAsia="Times New Roman"/>
                      <w:b/>
                      <w:bCs/>
                    </w:rPr>
                    <w:t>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92041104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    </w:t>
                  </w: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I.) Ficam instituídos, a partir de 1º de junho de 2009, os seguintes salários mínimos profissionais: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br/>
                    <w:t xml:space="preserve"> A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.) Empregados em geral: R$ 540,00 (quinhentos e quarenta reais);    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br/>
                    <w:t> 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B.) Encarregado de serviço de limpeza e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office-boy: R$ 515,00 (quinhentos e quinze reais);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br/>
                    <w:t xml:space="preserve"> C.) Empregado empacotador: R$ 470,80 (quatrocentos e setenta reais e oitenta centavos). 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92041104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 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   </w:t>
                  </w: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II.) Ficam instituídos, a partir de 1º de novembro de 2009, os seguintes salários mínimos profissionais: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br/>
                    <w:t>A.) Empregados em geral: R$ 550,00 (quinhentos e cinqüenta reais);    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B.) Encarregado de serviço de limpeza e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office-boy: R$ 525,00 (quinhentos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e vinte e cinco reais);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br/>
                    <w:t xml:space="preserve">C.) Empregado empacotador: R$ 482,00 (quatrocentos e oitenta e dois reais). 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920411048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   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I.) Ficam instituídos, a partir de 1º de junho de 2010, os seguintes salários mínimos profissionais: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 A.) Empregados em geral: R$ 585,00 (quinhento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 e oitenta e cinco reais);  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B.) Encarregado de serviço de limpeza e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office-boy: R$ 562,00 (quinhentos e sessenta e dois reais);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 C.) Empregado empacotador: R$ 520,00 (quinhentos e vinte reais). 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92041104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    </w:t>
                  </w: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II.) Ficam instituídos, a partir de 1º de setemb</w:t>
                  </w: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ro de 2010, os seguintes salários mínimos profissionais: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br/>
                    <w:t>A.) Empregados em geral: R$ 593,00 (quinhentos e noventa e três reais);    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B.) Encarregado de serviço de limpeza e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office-boy: R$ 571,75 (quinhentos e setenta e um reais e setenta e cinco centavo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s);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br/>
                    <w:t xml:space="preserve">C.) Empregado empacotador: R$ 520,00 (quinhentos e vinte reais). 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92041104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PARÁGRAFO PRIMEIRO 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92041104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    Fica estabelecido que por ocasião do reajuste do salário mínimo nacional, o salário mínimo profissional do empregado empacotador será acrescido de dez reais ao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valor fixado pelo Governo Federal. </w:t>
                  </w:r>
                </w:p>
                <w:p w:rsidR="00000000" w:rsidRDefault="00325470">
                  <w:pPr>
                    <w:pStyle w:val="NormalWeb"/>
                    <w:divId w:val="92041104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PARÁGRAFO SEGUNDO </w:t>
                  </w:r>
                </w:p>
                <w:p w:rsidR="00000000" w:rsidRDefault="00325470">
                  <w:pPr>
                    <w:pStyle w:val="NormalWeb"/>
                    <w:divId w:val="920411048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    Fica estabelecido que os salários mínimos profissionais fixados para setembro de 2010, serão base de cálculo quando da data-base junho de 2011. </w:t>
                  </w:r>
                </w:p>
                <w:p w:rsidR="00000000" w:rsidRDefault="00325470">
                  <w:pPr>
                    <w:divId w:val="92041104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92041104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Reajustes/Correções Salariais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92041104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QUARTA - REAJUSTE SALARIA</w:t>
                  </w:r>
                  <w:r>
                    <w:rPr>
                      <w:rFonts w:eastAsia="Times New Roman"/>
                      <w:b/>
                      <w:bCs/>
                    </w:rPr>
                    <w:t>L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230728278"/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       Em 1º de junho de 2009, os salários dos empregados representados pela entidade profissional acordante serão majorados no percentual de 6,00% (seis inteiros por cento</w:t>
                  </w:r>
                  <w:r>
                    <w:rPr>
                      <w:sz w:val="20"/>
                      <w:szCs w:val="20"/>
                    </w:rPr>
                    <w:t>), a incidir sobre o salário percebido em agos</w:t>
                  </w:r>
                  <w:r>
                    <w:rPr>
                      <w:sz w:val="20"/>
                      <w:szCs w:val="20"/>
                    </w:rPr>
                    <w:t>to/08.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230728278"/>
                  </w:pPr>
                  <w:r>
                    <w:t> 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230728278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Em 1º de junho de 2010, os salários dos empregados representados pela entidade profissional acordante serão majorados no percentual de 6,40% (seis inteiros e quarenta centésimos por cento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), a incidir sobre o salário percebido em novembro/09.</w:t>
                  </w:r>
                </w:p>
                <w:p w:rsidR="00000000" w:rsidRDefault="00325470">
                  <w:pPr>
                    <w:divId w:val="123072827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</w:t>
                  </w:r>
                  <w:r>
                    <w:rPr>
                      <w:rFonts w:eastAsia="Times New Roman"/>
                      <w:b/>
                      <w:bCs/>
                    </w:rPr>
                    <w:t>SULA QUINTA - REAJUSTE SALARIAL PROPORCIONA</w:t>
                  </w:r>
                  <w:r>
                    <w:rPr>
                      <w:rFonts w:eastAsia="Times New Roman"/>
                      <w:b/>
                      <w:bCs/>
                    </w:rPr>
                    <w:t>L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35996923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A taxa de reajustamento do salário do empregado que haja ingressado na empresa após a data-base será proporcional ao tempo de serviço e terá como limite o salário reajustado do empregado exercente da mesma funç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ão, admitido até 12 (doze) meses antes da data-base.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359969230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       Na hipótese de o empregado não ter paradigma ou em se tratando de empresa constituída e em funcionamento depois da data-base da categoria, será adotado o critério proporcional ao tempo de serviço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, com adição ao salário de admissão, conforme tabela abaixo:</w:t>
                  </w:r>
                </w:p>
                <w:tbl>
                  <w:tblPr>
                    <w:tblW w:w="360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1891"/>
                    <w:gridCol w:w="1709"/>
                  </w:tblGrid>
                  <w:tr w:rsidR="00000000">
                    <w:trPr>
                      <w:divId w:val="13599692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0000" w:rsidRDefault="0032547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</w:rPr>
                          <w:t>Admissão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0000" w:rsidRDefault="0032547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</w:rPr>
                          <w:t>Reajuste</w:t>
                        </w:r>
                      </w:p>
                    </w:tc>
                  </w:tr>
                  <w:tr w:rsidR="00000000">
                    <w:trPr>
                      <w:divId w:val="13599692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0000" w:rsidRDefault="0032547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JUN/08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0000" w:rsidRDefault="0032547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6,00%</w:t>
                        </w:r>
                      </w:p>
                    </w:tc>
                  </w:tr>
                  <w:tr w:rsidR="00000000">
                    <w:trPr>
                      <w:divId w:val="13599692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0000" w:rsidRDefault="0032547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JUL/08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0000" w:rsidRDefault="0032547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4,95%</w:t>
                        </w:r>
                      </w:p>
                    </w:tc>
                  </w:tr>
                  <w:tr w:rsidR="00000000">
                    <w:trPr>
                      <w:divId w:val="13599692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0000" w:rsidRDefault="0032547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AGO/08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0000" w:rsidRDefault="0032547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4,28%</w:t>
                        </w:r>
                      </w:p>
                    </w:tc>
                  </w:tr>
                  <w:tr w:rsidR="00000000">
                    <w:trPr>
                      <w:divId w:val="13599692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0000" w:rsidRDefault="0032547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SET/08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0000" w:rsidRDefault="0032547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4,05%</w:t>
                        </w:r>
                      </w:p>
                    </w:tc>
                  </w:tr>
                  <w:tr w:rsidR="00000000">
                    <w:trPr>
                      <w:divId w:val="13599692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0000" w:rsidRDefault="0032547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OUT/08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0000" w:rsidRDefault="0032547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3,54%</w:t>
                        </w:r>
                      </w:p>
                    </w:tc>
                  </w:tr>
                  <w:tr w:rsidR="00000000">
                    <w:trPr>
                      <w:divId w:val="13599692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0000" w:rsidRDefault="0032547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NOV/08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0000" w:rsidRDefault="0032547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3,31%</w:t>
                        </w:r>
                      </w:p>
                    </w:tc>
                  </w:tr>
                  <w:tr w:rsidR="00000000">
                    <w:trPr>
                      <w:divId w:val="13599692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0000" w:rsidRDefault="0032547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DEZ/08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0000" w:rsidRDefault="0032547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2,88%</w:t>
                        </w:r>
                      </w:p>
                    </w:tc>
                  </w:tr>
                  <w:tr w:rsidR="00000000">
                    <w:trPr>
                      <w:divId w:val="13599692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0000" w:rsidRDefault="0032547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JAN/09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0000" w:rsidRDefault="0032547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2,55%</w:t>
                        </w:r>
                      </w:p>
                    </w:tc>
                  </w:tr>
                  <w:tr w:rsidR="00000000">
                    <w:trPr>
                      <w:divId w:val="13599692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0000" w:rsidRDefault="0032547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FEV/09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0000" w:rsidRDefault="0032547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1,84%</w:t>
                        </w:r>
                      </w:p>
                    </w:tc>
                  </w:tr>
                  <w:tr w:rsidR="00000000">
                    <w:trPr>
                      <w:divId w:val="13599692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0000" w:rsidRDefault="0032547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MAR/09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0000" w:rsidRDefault="0032547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1,49%</w:t>
                        </w:r>
                      </w:p>
                    </w:tc>
                  </w:tr>
                  <w:tr w:rsidR="00000000">
                    <w:trPr>
                      <w:divId w:val="13599692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0000" w:rsidRDefault="0032547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ABR/09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0000" w:rsidRDefault="0032547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1,27%</w:t>
                        </w:r>
                      </w:p>
                    </w:tc>
                  </w:tr>
                  <w:tr w:rsidR="00000000">
                    <w:trPr>
                      <w:divId w:val="13599692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0000" w:rsidRDefault="0032547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MAI/09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0000" w:rsidRDefault="0032547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0,66%</w:t>
                        </w:r>
                      </w:p>
                    </w:tc>
                  </w:tr>
                </w:tbl>
                <w:p w:rsidR="00000000" w:rsidRDefault="00325470">
                  <w:pPr>
                    <w:spacing w:before="100" w:beforeAutospacing="1" w:after="100" w:afterAutospacing="1"/>
                    <w:divId w:val="1359969230"/>
                  </w:pPr>
                  <w:r>
                    <w:t> </w:t>
                  </w:r>
                </w:p>
                <w:p w:rsidR="00000000" w:rsidRDefault="00325470">
                  <w:pPr>
                    <w:divId w:val="1359969230"/>
                    <w:rPr>
                      <w:rFonts w:eastAsia="Times New Roman"/>
                    </w:rPr>
                  </w:pPr>
                </w:p>
                <w:p w:rsidR="00000000" w:rsidRDefault="00325470">
                  <w:pPr>
                    <w:spacing w:before="100" w:beforeAutospacing="1" w:after="100" w:afterAutospacing="1"/>
                    <w:divId w:val="1359969230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  </w:t>
                  </w:r>
                </w:p>
                <w:tbl>
                  <w:tblPr>
                    <w:tblW w:w="0" w:type="auto"/>
                    <w:tblInd w:w="2905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418"/>
                    <w:gridCol w:w="1276"/>
                  </w:tblGrid>
                  <w:tr w:rsidR="00000000">
                    <w:trPr>
                      <w:divId w:val="1359969230"/>
                    </w:trPr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pct30" w:color="C0C0C0" w:fill="FFFFFF"/>
                        <w:hideMark/>
                      </w:tcPr>
                      <w:p w:rsidR="00000000" w:rsidRDefault="00325470">
                        <w:pPr>
                          <w:tabs>
                            <w:tab w:val="left" w:pos="-720"/>
                          </w:tabs>
                          <w:suppressAutoHyphens/>
                          <w:jc w:val="center"/>
                          <w:rPr>
                            <w:rFonts w:ascii="Arial" w:eastAsia="Arial Unicode MS" w:hAnsi="Arial" w:cs="Arial"/>
                            <w:color w:val="000000"/>
                            <w:spacing w:val="-3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</w:rPr>
                          <w:t>Admissão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pct30" w:color="C0C0C0" w:fill="FFFFFF"/>
                        <w:hideMark/>
                      </w:tcPr>
                      <w:p w:rsidR="00000000" w:rsidRDefault="00325470">
                        <w:pPr>
                          <w:tabs>
                            <w:tab w:val="left" w:pos="-720"/>
                          </w:tabs>
                          <w:suppressAutoHyphens/>
                          <w:jc w:val="center"/>
                          <w:rPr>
                            <w:rFonts w:ascii="Arial" w:eastAsia="Arial Unicode MS" w:hAnsi="Arial" w:cs="Arial"/>
                            <w:color w:val="000000"/>
                            <w:spacing w:val="-3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</w:rPr>
                          <w:t>Reajuste</w:t>
                        </w:r>
                      </w:p>
                    </w:tc>
                  </w:tr>
                  <w:tr w:rsidR="00000000">
                    <w:trPr>
                      <w:divId w:val="1359969230"/>
                    </w:trPr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000000" w:rsidRDefault="00325470">
                        <w:pPr>
                          <w:tabs>
                            <w:tab w:val="left" w:pos="-720"/>
                          </w:tabs>
                          <w:suppressAutoHyphens/>
                          <w:jc w:val="center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  <w:lang w:val="pt-PT"/>
                          </w:rPr>
                          <w:t>JUN/09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:rsidR="00000000" w:rsidRDefault="00325470">
                        <w:pPr>
                          <w:tabs>
                            <w:tab w:val="left" w:pos="-720"/>
                          </w:tabs>
                          <w:suppressAutoHyphens/>
                          <w:jc w:val="center"/>
                          <w:rPr>
                            <w:rFonts w:ascii="Arial" w:eastAsia="Arial Unicode MS" w:hAnsi="Arial" w:cs="Arial"/>
                            <w:color w:val="000000"/>
                            <w:spacing w:val="-3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  <w:lang w:val="en-US"/>
                          </w:rPr>
                          <w:t>6,40%</w:t>
                        </w:r>
                      </w:p>
                    </w:tc>
                  </w:tr>
                  <w:tr w:rsidR="00000000">
                    <w:trPr>
                      <w:divId w:val="1359969230"/>
                    </w:trPr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000000" w:rsidRDefault="00325470">
                        <w:pPr>
                          <w:tabs>
                            <w:tab w:val="left" w:pos="-720"/>
                          </w:tabs>
                          <w:suppressAutoHyphens/>
                          <w:jc w:val="center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  <w:lang w:val="en-US"/>
                          </w:rPr>
                          <w:t>JUL/09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:rsidR="00000000" w:rsidRDefault="00325470">
                        <w:pPr>
                          <w:tabs>
                            <w:tab w:val="left" w:pos="-720"/>
                          </w:tabs>
                          <w:suppressAutoHyphens/>
                          <w:jc w:val="center"/>
                          <w:rPr>
                            <w:rFonts w:ascii="Arial" w:eastAsia="Arial Unicode MS" w:hAnsi="Arial" w:cs="Arial"/>
                            <w:color w:val="000000"/>
                            <w:spacing w:val="-3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  <w:lang w:val="en-US"/>
                          </w:rPr>
                          <w:t>5,87%</w:t>
                        </w:r>
                      </w:p>
                    </w:tc>
                  </w:tr>
                  <w:tr w:rsidR="00000000">
                    <w:trPr>
                      <w:divId w:val="1359969230"/>
                    </w:trPr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000000" w:rsidRDefault="00325470">
                        <w:pPr>
                          <w:tabs>
                            <w:tab w:val="left" w:pos="-720"/>
                          </w:tabs>
                          <w:suppressAutoHyphens/>
                          <w:jc w:val="center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  <w:lang w:val="en-US"/>
                          </w:rPr>
                          <w:t>AGO/09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:rsidR="00000000" w:rsidRDefault="00325470">
                        <w:pPr>
                          <w:tabs>
                            <w:tab w:val="left" w:pos="-720"/>
                          </w:tabs>
                          <w:suppressAutoHyphens/>
                          <w:jc w:val="center"/>
                          <w:rPr>
                            <w:rFonts w:ascii="Arial" w:eastAsia="Arial Unicode MS" w:hAnsi="Arial" w:cs="Arial"/>
                            <w:color w:val="000000"/>
                            <w:spacing w:val="-3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  <w:lang w:val="en-US"/>
                          </w:rPr>
                          <w:t>5,53%</w:t>
                        </w:r>
                      </w:p>
                    </w:tc>
                  </w:tr>
                  <w:tr w:rsidR="00000000">
                    <w:trPr>
                      <w:divId w:val="1359969230"/>
                    </w:trPr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000000" w:rsidRDefault="00325470">
                        <w:pPr>
                          <w:tabs>
                            <w:tab w:val="left" w:pos="-720"/>
                          </w:tabs>
                          <w:suppressAutoHyphens/>
                          <w:jc w:val="center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  <w:lang w:val="en-US"/>
                          </w:rPr>
                          <w:t>SET/09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:rsidR="00000000" w:rsidRDefault="00325470">
                        <w:pPr>
                          <w:tabs>
                            <w:tab w:val="left" w:pos="-720"/>
                          </w:tabs>
                          <w:suppressAutoHyphens/>
                          <w:jc w:val="center"/>
                          <w:rPr>
                            <w:rFonts w:ascii="Arial" w:eastAsia="Arial Unicode MS" w:hAnsi="Arial" w:cs="Arial"/>
                            <w:color w:val="000000"/>
                            <w:spacing w:val="-3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  <w:lang w:val="en-US"/>
                          </w:rPr>
                          <w:t>5,36%</w:t>
                        </w:r>
                      </w:p>
                    </w:tc>
                  </w:tr>
                  <w:tr w:rsidR="00000000">
                    <w:trPr>
                      <w:divId w:val="1359969230"/>
                    </w:trPr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000000" w:rsidRDefault="00325470">
                        <w:pPr>
                          <w:tabs>
                            <w:tab w:val="left" w:pos="-720"/>
                          </w:tabs>
                          <w:suppressAutoHyphens/>
                          <w:jc w:val="center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  <w:lang w:val="en-US"/>
                          </w:rPr>
                          <w:t>OUT/09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:rsidR="00000000" w:rsidRDefault="00325470">
                        <w:pPr>
                          <w:tabs>
                            <w:tab w:val="left" w:pos="-720"/>
                          </w:tabs>
                          <w:suppressAutoHyphens/>
                          <w:jc w:val="center"/>
                          <w:rPr>
                            <w:rFonts w:ascii="Arial" w:eastAsia="Arial Unicode MS" w:hAnsi="Arial" w:cs="Arial"/>
                            <w:color w:val="000000"/>
                            <w:spacing w:val="-3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  <w:lang w:val="en-US"/>
                          </w:rPr>
                          <w:t>5,10%</w:t>
                        </w:r>
                      </w:p>
                    </w:tc>
                  </w:tr>
                  <w:tr w:rsidR="00000000">
                    <w:trPr>
                      <w:divId w:val="1359969230"/>
                    </w:trPr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000000" w:rsidRDefault="00325470">
                        <w:pPr>
                          <w:tabs>
                            <w:tab w:val="left" w:pos="-720"/>
                          </w:tabs>
                          <w:suppressAutoHyphens/>
                          <w:jc w:val="center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  <w:lang w:val="en-US"/>
                          </w:rPr>
                          <w:t>NOV/09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:rsidR="00000000" w:rsidRDefault="00325470">
                        <w:pPr>
                          <w:tabs>
                            <w:tab w:val="left" w:pos="-720"/>
                          </w:tabs>
                          <w:suppressAutoHyphens/>
                          <w:jc w:val="center"/>
                          <w:rPr>
                            <w:rFonts w:ascii="Arial" w:eastAsia="Arial Unicode MS" w:hAnsi="Arial" w:cs="Arial"/>
                            <w:color w:val="000000"/>
                            <w:spacing w:val="-3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  <w:lang w:val="en-US"/>
                          </w:rPr>
                          <w:t>4,76%</w:t>
                        </w:r>
                      </w:p>
                    </w:tc>
                  </w:tr>
                  <w:tr w:rsidR="00000000">
                    <w:trPr>
                      <w:divId w:val="1359969230"/>
                    </w:trPr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000000" w:rsidRDefault="00325470">
                        <w:pPr>
                          <w:tabs>
                            <w:tab w:val="left" w:pos="-720"/>
                          </w:tabs>
                          <w:suppressAutoHyphens/>
                          <w:jc w:val="center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  <w:lang w:val="en-US"/>
                          </w:rPr>
                          <w:t>DEZ/09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:rsidR="00000000" w:rsidRDefault="00325470">
                        <w:pPr>
                          <w:tabs>
                            <w:tab w:val="left" w:pos="-720"/>
                          </w:tabs>
                          <w:suppressAutoHyphens/>
                          <w:jc w:val="center"/>
                          <w:rPr>
                            <w:rFonts w:ascii="Arial" w:eastAsia="Arial Unicode MS" w:hAnsi="Arial" w:cs="Arial"/>
                            <w:color w:val="000000"/>
                            <w:spacing w:val="-3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  <w:lang w:val="en-US"/>
                          </w:rPr>
                          <w:t>4,28%</w:t>
                        </w:r>
                      </w:p>
                    </w:tc>
                  </w:tr>
                  <w:tr w:rsidR="00000000">
                    <w:trPr>
                      <w:divId w:val="1359969230"/>
                    </w:trPr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000000" w:rsidRDefault="00325470">
                        <w:pPr>
                          <w:tabs>
                            <w:tab w:val="left" w:pos="-720"/>
                          </w:tabs>
                          <w:suppressAutoHyphens/>
                          <w:jc w:val="center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  <w:lang w:val="en-US"/>
                          </w:rPr>
                          <w:t>JAN/10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:rsidR="00000000" w:rsidRDefault="00325470">
                        <w:pPr>
                          <w:tabs>
                            <w:tab w:val="left" w:pos="-720"/>
                          </w:tabs>
                          <w:suppressAutoHyphens/>
                          <w:jc w:val="center"/>
                          <w:rPr>
                            <w:rFonts w:ascii="Arial" w:eastAsia="Arial Unicode MS" w:hAnsi="Arial" w:cs="Arial"/>
                            <w:color w:val="000000"/>
                            <w:spacing w:val="-3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  <w:lang w:val="en-US"/>
                          </w:rPr>
                          <w:t>3,94%</w:t>
                        </w:r>
                      </w:p>
                    </w:tc>
                  </w:tr>
                  <w:tr w:rsidR="00000000">
                    <w:trPr>
                      <w:divId w:val="1359969230"/>
                    </w:trPr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000000" w:rsidRDefault="00325470">
                        <w:pPr>
                          <w:tabs>
                            <w:tab w:val="left" w:pos="-720"/>
                          </w:tabs>
                          <w:suppressAutoHyphens/>
                          <w:jc w:val="center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  <w:lang w:val="en-US"/>
                          </w:rPr>
                          <w:t>FEV/10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:rsidR="00000000" w:rsidRDefault="00325470">
                        <w:pPr>
                          <w:tabs>
                            <w:tab w:val="left" w:pos="-720"/>
                          </w:tabs>
                          <w:suppressAutoHyphens/>
                          <w:jc w:val="center"/>
                          <w:rPr>
                            <w:rFonts w:ascii="Arial" w:eastAsia="Arial Unicode MS" w:hAnsi="Arial" w:cs="Arial"/>
                            <w:color w:val="000000"/>
                            <w:spacing w:val="-3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  <w:lang w:val="en-US"/>
                          </w:rPr>
                          <w:t>2,95%</w:t>
                        </w:r>
                      </w:p>
                    </w:tc>
                  </w:tr>
                  <w:tr w:rsidR="00000000">
                    <w:trPr>
                      <w:divId w:val="1359969230"/>
                    </w:trPr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000000" w:rsidRDefault="00325470">
                        <w:pPr>
                          <w:tabs>
                            <w:tab w:val="left" w:pos="-720"/>
                          </w:tabs>
                          <w:suppressAutoHyphens/>
                          <w:jc w:val="center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  <w:lang w:val="en-US"/>
                          </w:rPr>
                          <w:t>Mar/10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:rsidR="00000000" w:rsidRDefault="00325470">
                        <w:pPr>
                          <w:tabs>
                            <w:tab w:val="left" w:pos="-720"/>
                          </w:tabs>
                          <w:suppressAutoHyphens/>
                          <w:jc w:val="center"/>
                          <w:rPr>
                            <w:rFonts w:ascii="Arial" w:eastAsia="Arial Unicode MS" w:hAnsi="Arial" w:cs="Arial"/>
                            <w:color w:val="000000"/>
                            <w:spacing w:val="-3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</w:rPr>
                          <w:t>2,14%</w:t>
                        </w:r>
                      </w:p>
                    </w:tc>
                  </w:tr>
                  <w:tr w:rsidR="00000000">
                    <w:trPr>
                      <w:divId w:val="1359969230"/>
                    </w:trPr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000000" w:rsidRDefault="00325470">
                        <w:pPr>
                          <w:tabs>
                            <w:tab w:val="left" w:pos="-720"/>
                          </w:tabs>
                          <w:suppressAutoHyphens/>
                          <w:jc w:val="center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  <w:lang w:val="en-US"/>
                          </w:rPr>
                          <w:t>Abr/10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:rsidR="00000000" w:rsidRDefault="00325470">
                        <w:pPr>
                          <w:tabs>
                            <w:tab w:val="left" w:pos="-720"/>
                          </w:tabs>
                          <w:suppressAutoHyphens/>
                          <w:jc w:val="center"/>
                          <w:rPr>
                            <w:rFonts w:ascii="Arial" w:eastAsia="Arial Unicode MS" w:hAnsi="Arial" w:cs="Arial"/>
                            <w:color w:val="000000"/>
                            <w:spacing w:val="-3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</w:rPr>
                          <w:t>1,34%</w:t>
                        </w:r>
                      </w:p>
                    </w:tc>
                  </w:tr>
                  <w:tr w:rsidR="00000000">
                    <w:trPr>
                      <w:divId w:val="1359969230"/>
                    </w:trPr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000000" w:rsidRDefault="00325470">
                        <w:pPr>
                          <w:tabs>
                            <w:tab w:val="left" w:pos="-720"/>
                          </w:tabs>
                          <w:suppressAutoHyphens/>
                          <w:jc w:val="center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  <w:lang w:val="en-US"/>
                          </w:rPr>
                          <w:t>Mai/10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:rsidR="00000000" w:rsidRDefault="00325470">
                        <w:pPr>
                          <w:tabs>
                            <w:tab w:val="left" w:pos="-720"/>
                          </w:tabs>
                          <w:suppressAutoHyphens/>
                          <w:jc w:val="center"/>
                          <w:rPr>
                            <w:rFonts w:ascii="Arial" w:eastAsia="Arial Unicode MS" w:hAnsi="Arial" w:cs="Arial"/>
                            <w:color w:val="000000"/>
                            <w:spacing w:val="-3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</w:rPr>
                          <w:t>0,52%</w:t>
                        </w:r>
                      </w:p>
                    </w:tc>
                  </w:tr>
                </w:tbl>
                <w:p w:rsidR="00000000" w:rsidRDefault="00325470">
                  <w:pPr>
                    <w:spacing w:before="100" w:beforeAutospacing="1" w:after="100" w:afterAutospacing="1"/>
                    <w:divId w:val="1359969230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PARÁGRAFO ÚNICO 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359969230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    Não poderá o empregado mais novo na empresa, por força da presente convenção, perceber salário superior ao mais antigo na mesma função. 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35996923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000000" w:rsidRDefault="00325470">
                  <w:pPr>
                    <w:divId w:val="135996923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SEXTA - COMPENSAÇÕE</w:t>
                  </w:r>
                  <w:r>
                    <w:rPr>
                      <w:rFonts w:eastAsia="Times New Roman"/>
                      <w:b/>
                      <w:bCs/>
                    </w:rPr>
                    <w:t>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divId w:val="185824917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Poderão ser compensados nos reajustes previstos na presente convenção os aumentos salariais, espontâneos ou coercitivos, concedidos durante o período revisando, exceto os provenientes de término de aprendizagem; implemento de idade; promoção por antigüidad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 ou merecimento; transferência de cargo, função, estabelecimento ou de localidade; e equiparação salarial determinada por sentença transitada em julgado.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18582491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Pagamento de Salário </w:t>
                  </w:r>
                  <w:r>
                    <w:rPr>
                      <w:rFonts w:eastAsia="Times New Roman"/>
                      <w:b/>
                      <w:bCs/>
                    </w:rPr>
                    <w:t> Formas e Prazos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18582491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SÉTIMA - DIFERENÇAS SALARIAI</w:t>
                  </w:r>
                  <w:r>
                    <w:rPr>
                      <w:rFonts w:eastAsia="Times New Roman"/>
                      <w:b/>
                      <w:bCs/>
                    </w:rPr>
                    <w:t>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divId w:val="398089750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As diferenças salar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iais decorrentes da presente Convenção Coletiva de Trabalho deverão ser satisfeitas pelos empregadores até 10 de ABRIL de 2011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OITAVA - PAGAMENTO DE SALÁRIO</w:t>
                  </w:r>
                  <w:r>
                    <w:rPr>
                      <w:rFonts w:eastAsia="Times New Roman"/>
                      <w:b/>
                      <w:bCs/>
                    </w:rPr>
                    <w:t>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divId w:val="2077312172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Os salários, as horas extras e as comissões deverão ser pagos em uma única oportunidade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, até o 5º (quinto) dia útil do mês subseqüente ao vencido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NONA - SALÁRIOS EM SEXTAS FEIRA</w:t>
                  </w:r>
                  <w:r>
                    <w:rPr>
                      <w:rFonts w:eastAsia="Times New Roman"/>
                      <w:b/>
                      <w:bCs/>
                    </w:rPr>
                    <w:t>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divId w:val="1467967492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Os empregadores efetuarão o pagamento dos salários em moeda corrente, sempre que o mesmo se realizar em sextas-feiras ou véspera de feriado, salvo se a 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mpresa adotar sistema de depósito em conta bancária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DÉCIMA - RECIBOS SALARIAI</w:t>
                  </w:r>
                  <w:r>
                    <w:rPr>
                      <w:rFonts w:eastAsia="Times New Roman"/>
                      <w:b/>
                      <w:bCs/>
                    </w:rPr>
                    <w:t>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99787398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As empresas fornecerão aos seus empregados no ato do pagamento dos salários, discriminativo dos pagamentos e descontos efetuados através de cópia de recibos ou envelo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pes de pagamento onde conste: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99787398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       a) o número de horas normais e extras trabalhadas; e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99787398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       b) o montante das vendas e/ou cobranças sobre as quais incidam as comissões e os percentuais destas.</w:t>
                  </w:r>
                </w:p>
                <w:p w:rsidR="00000000" w:rsidRDefault="00325470">
                  <w:pPr>
                    <w:divId w:val="199787398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199787398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Remuneração DSR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199787398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DÉCIMA PRIMEIRA - REPOUSO SEMANAL REMUNERADO DO COMISSIONIST</w:t>
                  </w:r>
                  <w:r>
                    <w:rPr>
                      <w:rFonts w:eastAsia="Times New Roman"/>
                      <w:b/>
                      <w:bCs/>
                    </w:rPr>
                    <w:t>A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89550479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O pagamento dos repousos semanais remunerados e feriados dos empregados comissionistas, a critério do empregador, poderá ser calculado pelo acréscimo de 20% (vinte por cento) sobre o t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otal das comissões auferidas no mês, ou pelo total das comissões percebidas no mês, dividido pelos dias efetivamente trabalhados e multiplicado pelos domingos e feriados a que fizer jus.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89550479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PARÁGRAFO ÚNICO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89550479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       Se a empresa optar pela primeira forma de pag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amento do repouso semanal remunerado deverá mantê-la pelo período mínimo de 12 (doze) meses.</w:t>
                  </w:r>
                </w:p>
                <w:p w:rsidR="00000000" w:rsidRDefault="00325470">
                  <w:pPr>
                    <w:divId w:val="89550479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DÉCIMA SEGUNDA - DESCONTO DO REPOUSO REMUNERAD</w:t>
                  </w:r>
                  <w:r>
                    <w:rPr>
                      <w:rFonts w:eastAsia="Times New Roman"/>
                      <w:b/>
                      <w:bCs/>
                    </w:rPr>
                    <w:t>O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divId w:val="552740664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Fica proibido o desconto do repouso remunerado e do feriado correspondente, quando o empregado, apresent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ando-se atrasado, for admitido ao serviço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55274066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Isonomia Salarial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55274066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DÉCIMA TERCEIRA - SALÁRIO DO SUCESSO</w:t>
                  </w:r>
                  <w:r>
                    <w:rPr>
                      <w:rFonts w:eastAsia="Times New Roman"/>
                      <w:b/>
                      <w:bCs/>
                    </w:rPr>
                    <w:t>R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divId w:val="939683808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Admitido empregado para função de outro dispensado sem justa causa, será garantido àquele salário igual ao do empregado de menor salário na função, sem considerar vantagens pessoais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93968380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Descontos Salariais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93968380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DÉCIMA QUARTA - DESCONTOS SALARIAI</w:t>
                  </w:r>
                  <w:r>
                    <w:rPr>
                      <w:rFonts w:eastAsia="Times New Roman"/>
                      <w:b/>
                      <w:bCs/>
                    </w:rPr>
                    <w:t>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02821486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Serão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considerados válidos os descontos salariais, desde que prévia e expressamente autorizados pelo empregado, efetuados pelo empregador a título de mensalidade de associação de empregados; fundações; cooperativas; clubes; previdência privada; transporte; desp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esas realizadas em lanchonete da empresa ou local com idêntica função se houver; seguro de vida em grupo; farmácia; compras no próprio estabelecimento, inclusive de ferramentas e utensílios de trabalho não devolvidos; convênios com médicos, dentistas, clín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icas, óticas, funerárias, hospitais, casas de saúde e laboratórios; convênios com lojas; convênios para fornecimento de alimentação, seja através de supermercado ou por intermediação de SESC ou SESI; e outros referentes a benefícios que forem, comprovadame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nte, utilizados pelo empregado em seu proveito.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02821486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PARÁGRAFO ÚNICO</w:t>
                  </w:r>
                </w:p>
                <w:p w:rsidR="00000000" w:rsidRDefault="00325470">
                  <w:pPr>
                    <w:divId w:val="1028214864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   Fica ressalvado o direito do empregado de cancelar, a qualquer tempo e por escrito, a autorização para que se proceda aos descontos salariais acima especificados, respeitadas as obriga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ções já anteriormente assumidas pelo empregado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102821486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Outras normas referentes a salários, reajustes, pagamentos e critérios para cálculo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102821486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DÉCIMA QUINTA - ANOTAÇÃO DAS COMISSÕE</w:t>
                  </w:r>
                  <w:r>
                    <w:rPr>
                      <w:rFonts w:eastAsia="Times New Roman"/>
                      <w:b/>
                      <w:bCs/>
                    </w:rPr>
                    <w:t>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25880297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As empresas anotarão na CTPS de seus empregados ou no correspondente inst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rumento contratual, o percentual ajustado para o pagamento das comissões.</w:t>
                  </w:r>
                </w:p>
                <w:p w:rsidR="00000000" w:rsidRDefault="00325470">
                  <w:pPr>
                    <w:divId w:val="25880297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25880297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Gratificações, Adicionais, Auxílios e Outros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25880297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13º Salário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25880297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DÉCIMA SEXTA - 13º SALÁRIO DOS COMISSIONISTA</w:t>
                  </w:r>
                  <w:r>
                    <w:rPr>
                      <w:rFonts w:eastAsia="Times New Roman"/>
                      <w:b/>
                      <w:bCs/>
                    </w:rPr>
                    <w:t>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212653772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O empregado comissionado terá o valor de sua </w:t>
                  </w: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gratificação natali</w:t>
                  </w: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na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calculado com base na média da remuneração variável percebida no ano, garantida a atualização monetária das parcelas que servirão de base de cálculo, de acordo com a variação acumulada do INPC/IBGE no período compreendido entre o mês a que se refere a p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arcela e o mês de novembro.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212653772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PARÁGRAFO ÚNICO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212653772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       Não serão atualizadas, em nenhuma hipótese, as comissões referentes ao último mês do período base de cálculo.</w:t>
                  </w:r>
                </w:p>
                <w:p w:rsidR="00000000" w:rsidRDefault="00325470">
                  <w:pPr>
                    <w:divId w:val="212653772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DÉCIMA SÉTIMA - ADIANTAMENTO DO 13º SALÁRI</w:t>
                  </w:r>
                  <w:r>
                    <w:rPr>
                      <w:rFonts w:eastAsia="Times New Roman"/>
                      <w:b/>
                      <w:bCs/>
                    </w:rPr>
                    <w:t>O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divId w:val="422144281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As empresas pagarão 50% (cinqüenta por cento) do 13o salário aos empregados que o requeiram até 10 (dez) dias após o recebimento do aviso de férias, salvo em caso de férias coletivas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42214428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Gratificação de Função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42214428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DÉCIMA OITAVA - QUEBRA DE CAIX</w:t>
                  </w:r>
                  <w:r>
                    <w:rPr>
                      <w:rFonts w:eastAsia="Times New Roman"/>
                      <w:b/>
                      <w:bCs/>
                    </w:rPr>
                    <w:t>A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54441413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Os em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pregados que exerçam a função de caixa, exclusivamente, perceberão um adicional no valor de 10% (dez por cento) do salário normativo, a título de quebra de caixa, ficando ajustado que ditos valores não farão parte integrante do salário do empregado para qu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alquer efeito legal.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54441413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PARÁGRAFO ÚNICO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54441413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       Às empresas representadas pelas entidades patronais ora acordantes fica facultado o não pagamento do adicional de quebra-de-caixa previsto nesta cláusula se estas não procederem no desconto de eventuais diferenç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as verificadas por ocasião</w:t>
                  </w: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da conferência do caixa.</w:t>
                  </w:r>
                </w:p>
                <w:p w:rsidR="00000000" w:rsidRDefault="00325470">
                  <w:pPr>
                    <w:divId w:val="54441413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54441413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Adicional de Hora-Extra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54441413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DÉCIMA NONA - ADICIONAL DE HORAS EXTRA</w:t>
                  </w:r>
                  <w:r>
                    <w:rPr>
                      <w:rFonts w:eastAsia="Times New Roman"/>
                      <w:b/>
                      <w:bCs/>
                    </w:rPr>
                    <w:t>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divId w:val="1515874015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As horas extras excedentes as duas primeiras serão remuneradas com um acréscimo de 100% (cem por cento)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VIGÉSIMA - AD</w:t>
                  </w:r>
                  <w:r>
                    <w:rPr>
                      <w:rFonts w:eastAsia="Times New Roman"/>
                      <w:b/>
                      <w:bCs/>
                    </w:rPr>
                    <w:t>ICIONAL DE HORAS EXTRAS DO COMISSIONIST</w:t>
                  </w:r>
                  <w:r>
                    <w:rPr>
                      <w:rFonts w:eastAsia="Times New Roman"/>
                      <w:b/>
                      <w:bCs/>
                    </w:rPr>
                    <w:t>A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divId w:val="1625308123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O cálculo da hora extra do empregado comissionista tomará por base o valor das comissões auferidas no mês, dividido pelo número de horas trabalhadas, acrescentando-se ao valor hora o adicional para horas extras pre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visto neste acordo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VIGÉSIMA PRIMEIRA - BALANÇOS E INVENTÁRIO</w:t>
                  </w:r>
                  <w:r>
                    <w:rPr>
                      <w:rFonts w:eastAsia="Times New Roman"/>
                      <w:b/>
                      <w:bCs/>
                    </w:rPr>
                    <w:t>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211821209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Quando a empresa realizar balanços e inventários fora do horário normal de trabalho, as horas correspondentes deverão ser pagas com o adicional previsto neste acordo.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211821209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PARÁGRAFO PRIMEI</w:t>
                  </w: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RO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211821209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       Para a realização de balanços e inventários fora do horário normal de trabalho, a empresa não necessitará fazer novo acordo coletivo, ficando desde já autorizada a realizá-los fora do horário normal de trabalho, desde que os empregados que irão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desenvolver tal atividade sejam comunicados com antecedência de 05 (cinco) dias, sendo remetida cópia da comunicação, acompanhada da relação nominal dos empregados, ao sindicato suscitante.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211821209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PARÁGRAFO SEGUNDO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211821209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       As empresas se obrigam a fornecer lanche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aos empregados convocados para realizar balanços ou inventários fora do horário normal de trabalho.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211821209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PARÁGRAFO TERCEIRO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211821209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       A realização de balanços ou inventários não poderá ultrapassar as 22h (vinte e duas horas).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211821209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PARÁGRAFO QUARTO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211821209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       Os balanços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e inventários não poderão ser realizados nos domingos e feriados, salvo acordo ou convenção coletiva.</w:t>
                  </w:r>
                </w:p>
                <w:p w:rsidR="00000000" w:rsidRDefault="00325470">
                  <w:pPr>
                    <w:divId w:val="211821209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VIGÉSIMA SEGUNDA - CONFERÊNCIA DE CAIXA - HORÁRI</w:t>
                  </w:r>
                  <w:r>
                    <w:rPr>
                      <w:rFonts w:eastAsia="Times New Roman"/>
                      <w:b/>
                      <w:bCs/>
                    </w:rPr>
                    <w:t>O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37003275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As horas dispendidas na conferência de caixa, quando realizadas após a jornada normal de tra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balho, serão pagas como extraordinárias, com a aplicação do percentual estabelecido neste acordo.</w:t>
                  </w:r>
                </w:p>
                <w:p w:rsidR="00000000" w:rsidRDefault="00325470">
                  <w:pPr>
                    <w:divId w:val="37003275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37003275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Adicional de Tempo de Serviço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37003275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VIGÉSIMA TERCEIRA - QUINQUÊNI</w:t>
                  </w:r>
                  <w:r>
                    <w:rPr>
                      <w:rFonts w:eastAsia="Times New Roman"/>
                      <w:b/>
                      <w:bCs/>
                    </w:rPr>
                    <w:t>O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90382742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Aos integrantes da categoria profissional será concedido um adicional de 3% (três por cento) a cada 5 (cinco) anos de serviço na mesma empresa, percentual este que incidirá, mensalmente, sobre o salário efetivamente percebido pelo empregado, independenteme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nte da forma de remuneração.</w:t>
                  </w:r>
                </w:p>
                <w:p w:rsidR="00000000" w:rsidRDefault="00325470">
                  <w:pPr>
                    <w:divId w:val="190382742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190382742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Adicional de Insalubridade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190382742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VIGÉSIMA QUARTA - ADICIONAL DE INSALUBRIDAD</w:t>
                  </w:r>
                  <w:r>
                    <w:rPr>
                      <w:rFonts w:eastAsia="Times New Roman"/>
                      <w:b/>
                      <w:bCs/>
                    </w:rPr>
                    <w:t>E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divId w:val="1636059317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O pagamento do adicional de insalubridade devido aos integrantes da categoria profissional suscitante será calculado com base no salário mínim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o nacional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163605931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Auxílio Creche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163605931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VIGÉSIMA QUINTA - AUXÍLIO CRECH</w:t>
                  </w:r>
                  <w:r>
                    <w:rPr>
                      <w:rFonts w:eastAsia="Times New Roman"/>
                      <w:b/>
                      <w:bCs/>
                    </w:rPr>
                    <w:t>E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divId w:val="2013556943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As empresas que não mantiverem creches junto ao estabelecimento ou de forma conveniada pagarão aos seus empregados por filho menor de 06 (seis) anos, auxílio mensal em valor equivalent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 a 0,10 (um décimo) do salário normativo da categoria, independente de qualquer comprovação de despesas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201355694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Contrato de Trabalho </w:t>
                  </w:r>
                  <w:r>
                    <w:rPr>
                      <w:rFonts w:eastAsia="Times New Roman"/>
                      <w:b/>
                      <w:bCs/>
                    </w:rPr>
                    <w:t> Admissão, Demissão, Modalidades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201355694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Normas para Admissão/Contratação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201355694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VIGÉSIMA SEXTA - CONTRATO DE EXPERIÊNCI</w:t>
                  </w:r>
                  <w:r>
                    <w:rPr>
                      <w:rFonts w:eastAsia="Times New Roman"/>
                      <w:b/>
                      <w:bCs/>
                    </w:rPr>
                    <w:t>A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divId w:val="744305721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Os cont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ratos de experiência não poderão ser celebrados por prazo inferior a 15 (quinze) dias, devendo as empresas fornecerem cópia dos mesmos no ato da admissão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74430572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Desligamento/Demissão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74430572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VIGÉSIMA SÉTIMA - JUSTA CAUS</w:t>
                  </w:r>
                  <w:r>
                    <w:rPr>
                      <w:rFonts w:eastAsia="Times New Roman"/>
                      <w:b/>
                      <w:bCs/>
                    </w:rPr>
                    <w:t>A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17388328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As empresas notificarão por escrito a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o empregado a justa causa invocada para a rescisão contratual.</w:t>
                  </w:r>
                </w:p>
                <w:p w:rsidR="00000000" w:rsidRDefault="00325470">
                  <w:pPr>
                    <w:divId w:val="117388328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117388328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Aviso Prévio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117388328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VIGÉSIMA OITAVA - OBTENÇÃO DE NOVO EMPREG</w:t>
                  </w:r>
                  <w:r>
                    <w:rPr>
                      <w:rFonts w:eastAsia="Times New Roman"/>
                      <w:b/>
                      <w:bCs/>
                    </w:rPr>
                    <w:t>O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divId w:val="1918976597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 empregado que, em cumprimento de aviso prévio dado pelo empregador, provar a obtenção de novo emprego, terá direito de se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desligar da empresa de imediato, percebendo os dias já trabalhados no curso do aviso prévio, sem prejuízo das parcelas rescisórias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VIGÉSIMA NONA - ANOTAÇÃO DO AVISO PRÉVI</w:t>
                  </w:r>
                  <w:r>
                    <w:rPr>
                      <w:rFonts w:eastAsia="Times New Roman"/>
                      <w:b/>
                      <w:bCs/>
                    </w:rPr>
                    <w:t>O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divId w:val="1170288816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Os empregadores deverão consignar no próprio aviso a data, horário e loca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l em que as verbas rescisórias estarão a disposição do empregado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TRIGÉSIMA - ALTERAÇÃO DE CONDIÇÕES NO AVISO PRÉVI</w:t>
                  </w:r>
                  <w:r>
                    <w:rPr>
                      <w:rFonts w:eastAsia="Times New Roman"/>
                      <w:b/>
                      <w:bCs/>
                    </w:rPr>
                    <w:t>O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divId w:val="464854383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Ficam proibidas as alterações nas condições de trabalho, inclusive no local de trabalho, durante o aviso prévio, dado por qualque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r das partes, salvo em caso de reversão ao cargo efetivo, de exercente de cargo de confiança, sob pena de rescisão imediata do contrato de trabalho, respondendo o empregador pelo pagamento do restante do aviso prévio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TRIGÉSIMA PRIMEIRA - REDUÇÃO </w:t>
                  </w:r>
                  <w:r>
                    <w:rPr>
                      <w:rFonts w:eastAsia="Times New Roman"/>
                      <w:b/>
                      <w:bCs/>
                    </w:rPr>
                    <w:t>DA JORNADA NO AVISO PRÉVI</w:t>
                  </w:r>
                  <w:r>
                    <w:rPr>
                      <w:rFonts w:eastAsia="Times New Roman"/>
                      <w:b/>
                      <w:bCs/>
                    </w:rPr>
                    <w:t>O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divId w:val="1454784921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O empregado, durante o aviso prévio, poderá escolher a redução de 02 (duas) horas, no início ou no fim da jornada de trabalho, caso não seja dispensado do cumprimento do mesmo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145478492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Outras normas referentes a admissão, demissão e mo</w:t>
                  </w:r>
                  <w:r>
                    <w:rPr>
                      <w:rFonts w:eastAsia="Times New Roman"/>
                      <w:b/>
                      <w:bCs/>
                    </w:rPr>
                    <w:t>dalidades de contratação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145478492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TRIGÉSIMA SEGUNDA - RELAÇÃO DE SALÁRIOS DE CONTRIBUIÇÃ</w:t>
                  </w:r>
                  <w:r>
                    <w:rPr>
                      <w:rFonts w:eastAsia="Times New Roman"/>
                      <w:b/>
                      <w:bCs/>
                    </w:rPr>
                    <w:t>O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374695819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As empresas entregarão ao empregado demitido, quando requerido, a relação de seus salários durante o período trabalho ou incorporado, na Relação de Salários de Contribuição (RSC), de acordo com formulário oficial, no prazo de 15 (quinze) dias após o vencim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ento do aviso prévio.</w:t>
                  </w:r>
                </w:p>
                <w:p w:rsidR="00000000" w:rsidRDefault="00325470">
                  <w:pPr>
                    <w:divId w:val="374695819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374695819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Relações de Trabalho </w:t>
                  </w:r>
                  <w:r>
                    <w:rPr>
                      <w:rFonts w:eastAsia="Times New Roman"/>
                      <w:b/>
                      <w:bCs/>
                    </w:rPr>
                    <w:t> Condições de Trabalho, Normas de Pessoal e Estabilidades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374695819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Qualificação/Formação Profissional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374695819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TRIGÉSIMA TERCEIRA - CURSOS E REUNIÕE</w:t>
                  </w:r>
                  <w:r>
                    <w:rPr>
                      <w:rFonts w:eastAsia="Times New Roman"/>
                      <w:b/>
                      <w:bCs/>
                    </w:rPr>
                    <w:t>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divId w:val="1940796046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Os cursos e reuniões promovidos pela empresa, quando de compareci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mento obrigatório, serão realizados durante a jornada normal de trabalho ou as horas correspondentes serão pagas como extras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194079604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Estabilidade Mãe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194079604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TRIGÉSIMA QUARTA - ESTABILIDADE DA GESTANT</w:t>
                  </w:r>
                  <w:r>
                    <w:rPr>
                      <w:rFonts w:eastAsia="Times New Roman"/>
                      <w:b/>
                      <w:bCs/>
                    </w:rPr>
                    <w:t>E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1489340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A empregada gestante será assegurada a estabilidade no em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prego durante a gravidez até 90 (noventa) dias contados após o retorno do benefício previdenciário.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1489340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PARÁGRAFO UNICO</w:t>
                  </w:r>
                </w:p>
                <w:p w:rsidR="00000000" w:rsidRDefault="00325470">
                  <w:pPr>
                    <w:divId w:val="1148934033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       Na hipótese de dispensa sem justa causa, a empregada deverá apresentar à empresa atestado médico comprobatório de gravidez anterior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ao aviso prévio, dentro de 30 (trinta) dias após a data do término do aviso prévio, sob pena de decadência do direito previsto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11489340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Outras normas referentes a condições para o exercício do trabalho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11489340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TRIGÉSIMA QUINTA - ANOTAÇÃO DA FUNÇÃ</w:t>
                  </w:r>
                  <w:r>
                    <w:rPr>
                      <w:rFonts w:eastAsia="Times New Roman"/>
                      <w:b/>
                      <w:bCs/>
                    </w:rPr>
                    <w:t>O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92309789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As empresas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anotarão na Carteira de Trabalho de seus empregados a função efetivamente exercida por eles no estabelecimento.</w:t>
                  </w:r>
                </w:p>
                <w:p w:rsidR="00000000" w:rsidRDefault="00325470">
                  <w:pPr>
                    <w:divId w:val="192309789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192309789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Outras normas de pessoal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192309789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TRIGÉSIMA SEXTA - INFORME ANUAL DE RENDIMENTO</w:t>
                  </w:r>
                  <w:r>
                    <w:rPr>
                      <w:rFonts w:eastAsia="Times New Roman"/>
                      <w:b/>
                      <w:bCs/>
                    </w:rPr>
                    <w:t>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divId w:val="118111513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As empresas fornecerão a seus empregados o Informe Anual de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Rendimentos, para fins de Imposto de Renda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TRIGÉSIMA SÉTIMA - COMPROVANTE DE RECEBIMENTO DE DOCUMENTO</w:t>
                  </w:r>
                  <w:r>
                    <w:rPr>
                      <w:rFonts w:eastAsia="Times New Roman"/>
                      <w:b/>
                      <w:bCs/>
                    </w:rPr>
                    <w:t>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divId w:val="171382382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Os empregadores fornecerão a seus empregados comprovante de recebimento de quaisquer documentos que por estes lhes sejam entregues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17138238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Jornada de Trabalho </w:t>
                  </w:r>
                  <w:r>
                    <w:rPr>
                      <w:rFonts w:eastAsia="Times New Roman"/>
                      <w:b/>
                      <w:bCs/>
                    </w:rPr>
                    <w:t> Duração, Distribuição, Controle, Faltas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17138238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Compensação de Jornada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17138238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TRIGÉSIMA OITAVA - REGIME DE COMPENSAÇÃO HORÁRI</w:t>
                  </w:r>
                  <w:r>
                    <w:rPr>
                      <w:rFonts w:eastAsia="Times New Roman"/>
                      <w:b/>
                      <w:bCs/>
                    </w:rPr>
                    <w:t>A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960844289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       A duração normal da jornada de trabalho poderá, para fins de adoção do regime de compensação horária d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e que trata o art. 59 da CLT, ser acrescida de horas suplementares em número não excedente de 02 (duas) horas, respeitada a seguinte sistemática: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960844289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       a) o regime de compensação horária poderá ser estabelecido por períodos máximos de 30 (trinta) dias, h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ipótese em que será considerado o período mensal de apuração de horas adotado pela empresa para o fechamento da folha de pagamento dos salários;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960844289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       b) o número máximo de horas extras a serem compensadas será de 30 (trinta) horas por período;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960844289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       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c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) as horas excedentes ao limite previsto na letra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b da presente cláusula, serão pagas como extras e acrescidas do adicional previsto nesta convenção;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960844289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       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d) as empresas que se utilizarem da compensação deverão adotar controle de ponto da carga horária do empregado;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960844289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       e) a compensação dar-se-á sempre de segunda-feira a sábado.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960844289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PARÁGRAFO PRIMEIRO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960844289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       As horas de trabalho reduzidas na jornada para po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sterior compensação não poderão ser objeto de descontos salariais, caso não venham a ser compensadas com o respectivo aumento da jornada dentro do mês e nem poderão ser objeto de compensação nos meses subsequentes.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960844289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PARÁGRAFO SEGUNDO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960844289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       Havendo rescisã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o de contrato e se houver crédito a favor do empregado, as respectivas horas serão computadas e remuneradas com o adicional de horas extras previsto nesta convenção.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960844289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PARÁGRAFO TERCEIRO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960844289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       Se houver débitos de horas do empregado para com o empregador,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na hipótese de rompimento de contrato por iniciativa do empregador, as horas não trabalhadas serão abonadas, sem qualquer desconto nas verbas a que o trabalhador tiver direito na rescisão de contrato de trabalho.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960844289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PARÁGRAFO QUARTO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960844289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       A faculdade estabe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lecida no "caput" desta cláusula se aplica a todas as atividades, inclusive aquelas consideradas insalubres, independentemente da autorização a que se refere o artigo 60 da CLT.</w:t>
                  </w:r>
                </w:p>
                <w:p w:rsidR="00000000" w:rsidRDefault="00325470">
                  <w:pPr>
                    <w:divId w:val="960844289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TRIGÉSIMA NONA - COMPENSAÇÃO JORNADA DE TRABALHO COMISSIONISTAS MESE</w:t>
                  </w:r>
                  <w:r>
                    <w:rPr>
                      <w:rFonts w:eastAsia="Times New Roman"/>
                      <w:b/>
                      <w:bCs/>
                    </w:rPr>
                    <w:t>S DE DEZEMBRO E JANEIR</w:t>
                  </w:r>
                  <w:r>
                    <w:rPr>
                      <w:rFonts w:eastAsia="Times New Roman"/>
                      <w:b/>
                      <w:bCs/>
                    </w:rPr>
                    <w:t>O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67178968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A duração normal da jornada de trabalho poderá, nos meses de dezembro/09, janeiro/10, dezembro/10 e janeiro/11, para fins de adoção do regime de compensação horária de que trata o art. 59 da CLT, ser acrescida de horas suplementare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s em número não excedente de 02 (duas) horas, respeitada a seguinte sistemática: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sz w:val="20"/>
                      <w:szCs w:val="20"/>
                    </w:rPr>
                    <w:br/>
                    <w:t>        a) o número máximo de horas extras a serem compensadas será de até 60 (sessenta) no período compreendido entre 1º de dezembro/2009 e 31 de janeiro/2010 e de 1º de dez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embro de 2010 e 31 de janeiro de 2011;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sz w:val="20"/>
                      <w:szCs w:val="20"/>
                    </w:rPr>
                    <w:br/>
                    <w:t>        b) as horas excedentes ao limite previsto na letra "a" da presente cláusula e as não compensadas dentro do referido período, serão pagas como extras e acrescidas do adicional previsto nesta convenção;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sz w:val="20"/>
                      <w:szCs w:val="20"/>
                    </w:rPr>
                    <w:br/>
                    <w:t>      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  c) as empresas que se utilizarem da compensação deverão adotar controle de ponto da carga horária do empregado;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sz w:val="20"/>
                      <w:szCs w:val="20"/>
                    </w:rPr>
                    <w:br/>
                    <w:t>        d) a compensação dar-se-á sempre de segunda-feira a sábado;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sz w:val="20"/>
                      <w:szCs w:val="20"/>
                    </w:rPr>
                    <w:br/>
                    <w:t>        e) fica vedada a prorrogação da jornada de trabalho dos empregad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os comissionistas nos meses de janeiro de 2010/11 para compensar horas não trabalhadas no mês de dezembro de 2009/10;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sz w:val="20"/>
                      <w:szCs w:val="20"/>
                    </w:rPr>
                    <w:br/>
                    <w:t>        f) os empregados que compensarem as horas extraordinárias de dezembro/09 e dezembro/10, com a diminuição da jornada no mês de jan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eiro/10 e janeiro/11, terão o valor de seus repousos semanais remunerados do mês de janeiro/10 e janeiro/11 calculado como se tivesse ocorrido trabalho integral nos dias de compensação, atribuindo-se aos respectivos dias ou horas de compensação o valor méd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io das comissões auferidas no mês de janeiro/10 e janeiro/11.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67178968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PARÁGRAFO PRIMEIRO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67178968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       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As horas de trabalho reduzidas na jornada para posterior compensação não poderão ser objeto de descontos salariais, caso não venham a ser compensadas com o respectivo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aumento da jornada dentro do período e nem poderão ser objeto de compensação nos meses subseqüentes, observada a limitação prevista na alínea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e do caput da presente cláusula.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67178968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PARÁGRAFO SEGUNDO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671789688"/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       A faculdade estabelecida no "caput" desta cláusula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se aplica a todas as atividades, inclusive aquelas consideradas insalubres, independentemente da autorização a que se refere o artigo 60 da CLT.</w:t>
                  </w:r>
                </w:p>
                <w:p w:rsidR="00000000" w:rsidRDefault="00325470">
                  <w:pPr>
                    <w:divId w:val="167178968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167178968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Intervalos para Descanso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167178968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QUADRAGÉSIMA - INTERVALO</w:t>
                  </w:r>
                  <w:r>
                    <w:rPr>
                      <w:rFonts w:eastAsia="Times New Roman"/>
                      <w:b/>
                      <w:bCs/>
                    </w:rPr>
                    <w:t>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44179895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Em qualquer trabalho contínuo, cuja duração exc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eda de 06 (seis) horas, é obrigatória a concessão de um intervalo para repouso e alimentação, o qual será, no mínimo de 01 (uma) hora e, salvo acordo escrito ou convenção coletiva em contrário, não poderá exceder de 02 (duas) horas.</w:t>
                  </w:r>
                </w:p>
                <w:p w:rsidR="00000000" w:rsidRDefault="00325470">
                  <w:pPr>
                    <w:divId w:val="144179895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144179895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Controle da Jornada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144179895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QUADRAGÉSIMA PRIMEIRA - LIVRO OU CARTÃO PONT</w:t>
                  </w:r>
                  <w:r>
                    <w:rPr>
                      <w:rFonts w:eastAsia="Times New Roman"/>
                      <w:b/>
                      <w:bCs/>
                    </w:rPr>
                    <w:t>O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divId w:val="1314985567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As empresas que possuírem mais de 05 (cinco) empregados serão obrigadas a utilizar livro ou cartão ponto, com obrigatoriedade de o empregado registrar sua presença ao trabalho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131498556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Faltas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131498556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QUADR</w:t>
                  </w:r>
                  <w:r>
                    <w:rPr>
                      <w:rFonts w:eastAsia="Times New Roman"/>
                      <w:b/>
                      <w:bCs/>
                    </w:rPr>
                    <w:t>AGÉSIMA SEGUNDA - ABONO DE PONTO PARA SAQUE DO PI</w:t>
                  </w:r>
                  <w:r>
                    <w:rPr>
                      <w:rFonts w:eastAsia="Times New Roman"/>
                      <w:b/>
                      <w:bCs/>
                    </w:rPr>
                    <w:t>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divId w:val="1934775017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As empresas dispensarão seus empregados durante 02 (duas) horas do expediente da jornada de trabalho, sem prejuízo salarial, para o saque das parcelas do PIS e, durante 01 (hum) dia, quando seu domicílio bancário for fora da cidade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193477501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Jornadas Especiais (mu</w:t>
                  </w:r>
                  <w:r>
                    <w:rPr>
                      <w:rFonts w:eastAsia="Times New Roman"/>
                      <w:b/>
                      <w:bCs/>
                    </w:rPr>
                    <w:t>lheres, menores, estudantes)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193477501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QUADRAGÉSIMA TERCEIRA - PRORROGAÇÃO DA JORNADA DO ESTUDANT</w:t>
                  </w:r>
                  <w:r>
                    <w:rPr>
                      <w:rFonts w:eastAsia="Times New Roman"/>
                      <w:b/>
                      <w:bCs/>
                    </w:rPr>
                    <w:t>E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21004341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O empregado estudante poderá não aceitar a prorrogação de seu horário de trabalho, se tal vier a prejudicar-lhe a freqüência às aulas e/ou exames escolares.</w:t>
                  </w:r>
                </w:p>
                <w:p w:rsidR="00000000" w:rsidRDefault="00325470">
                  <w:pPr>
                    <w:divId w:val="21004341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QUADRAGÉSIMA QUARTA - ABONO DE FALTA EMPREGADO ESTUDANT</w:t>
                  </w:r>
                  <w:r>
                    <w:rPr>
                      <w:rFonts w:eastAsia="Times New Roman"/>
                      <w:b/>
                      <w:bCs/>
                    </w:rPr>
                    <w:t>E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divId w:val="2050107832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Os empregados estudantes, matriculados em escolas oficiais ou reconhecidas, em dias de realização de provas finais de cada semestre ou quando da prestação de exames vestibulares, serão di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spensados de seus pontos durante meio turno, desde que comuniquem à empresa 48 (quarenta e oito) horas antes e comprovem a realização da prova até 48 (quarenta e oito) horas após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QUADRAGÉSIMA QUINTA - ABONO DE PONTO PARA A EMPREGADA GESTANT</w:t>
                  </w:r>
                  <w:r>
                    <w:rPr>
                      <w:rFonts w:eastAsia="Times New Roman"/>
                      <w:b/>
                      <w:bCs/>
                    </w:rPr>
                    <w:t>E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divId w:val="171338009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 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mpresa abonará a falta da empregada gestante, no limite máximo de 01 (uma) mensal, no caso de consulta médica, mediante comprovação, declaração médica ou apresentação da carteira de gestante devidamente anotada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171338009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Outras disposições sobre jornada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171338009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QUADRAGÉSIMA SEXTA - LANCHE</w:t>
                  </w:r>
                  <w:r>
                    <w:rPr>
                      <w:rFonts w:eastAsia="Times New Roman"/>
                      <w:b/>
                      <w:bCs/>
                    </w:rPr>
                    <w:t>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divId w:val="590092030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As empresas que não dispensarem seus empregados pelo período necessário para fazer lanche, manterão local apropriado em condições de higiene para tal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59009203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Férias e Licenças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59009203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Duração e Concessão de Férias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59009203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QUADR</w:t>
                  </w:r>
                  <w:r>
                    <w:rPr>
                      <w:rFonts w:eastAsia="Times New Roman"/>
                      <w:b/>
                      <w:bCs/>
                    </w:rPr>
                    <w:t>AGÉSIMA SÉTIMA - FRACIONAMENTO DE FÉRIA</w:t>
                  </w:r>
                  <w:r>
                    <w:rPr>
                      <w:rFonts w:eastAsia="Times New Roman"/>
                      <w:b/>
                      <w:bCs/>
                    </w:rPr>
                    <w:t>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88017254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Os empregados poderão requerer o fracionamento das férias, em período não inferior a 10 (dez) dias corridos, sendo facultado ao empregador acatar ou não o pedido.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88017254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PARÁGRAFO PRIMEIRO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88017254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       O fracionamento das féri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as também poderá ocorrer por iniciativa do empregador, desde que haja concordância do empregado.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88017254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PARÁGRAFO SEGUNDO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88017254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       O fracionamento das férias deverá ser formalizado mediante acordo escrito entre empregado e empregador.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88017254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PARÁGRAFO TERCEIRO</w:t>
                  </w:r>
                </w:p>
                <w:p w:rsidR="00000000" w:rsidRDefault="00325470">
                  <w:pPr>
                    <w:divId w:val="880172546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   Oc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orrendo fracionamento de férias de empregado que ainda não tenha completado o período aquisitivo de 12 (doze) meses, correspondendo ao número de meses já trabalhados no período, após o gozo das férias iniciar-se-á novo período aquisitivo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88017254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Remuneração de F</w:t>
                  </w:r>
                  <w:r>
                    <w:rPr>
                      <w:rFonts w:eastAsia="Times New Roman"/>
                      <w:b/>
                      <w:bCs/>
                    </w:rPr>
                    <w:t>érias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88017254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QUADRAGÉSIMA OITAVA - FÉRIAS E RESCISÓRIAS DOS COMISSIONISTA</w:t>
                  </w:r>
                  <w:r>
                    <w:rPr>
                      <w:rFonts w:eastAsia="Times New Roman"/>
                      <w:b/>
                      <w:bCs/>
                    </w:rPr>
                    <w:t>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58596657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       O empregado comissionado terá o valor de suas </w:t>
                  </w: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férias e parcelas rescisórias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calculado com base na média da remuneração variável percebida nos últimos 12 (doze) meses, ga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rantida a atualização monetária das parcelas que servirão de base de cálculo, de acordo com a variação acumulada do INPC/IBGE no período compreendido entre o mês a que se refere a parcela e o mês anterior a concessão das férias ou da satisfação das parcela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s rescisórias.</w:t>
                  </w:r>
                </w:p>
                <w:p w:rsidR="00000000" w:rsidRDefault="00325470">
                  <w:pPr>
                    <w:divId w:val="58596657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58596657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Saúde e Segurança do Trabalhador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58596657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Condições de Ambiente de Trabalho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58596657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QUADRAGÉSIMA NONA - ASSENTO</w:t>
                  </w:r>
                  <w:r>
                    <w:rPr>
                      <w:rFonts w:eastAsia="Times New Roman"/>
                      <w:b/>
                      <w:bCs/>
                    </w:rPr>
                    <w:t>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divId w:val="1165588583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As empresas colocarão assentos nos locais de trabalho, para uso dos empregados que tenham por atividade o atendimento ao público, nos termos da Portaria MTb no 3214/78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116558858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Uniforme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116558858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QUINQUAGÉSIMA - UNIFORME</w:t>
                  </w:r>
                  <w:r>
                    <w:rPr>
                      <w:rFonts w:eastAsia="Times New Roman"/>
                      <w:b/>
                      <w:bCs/>
                    </w:rPr>
                    <w:t>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divId w:val="966471942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As empresas que exigirem o uso de unifor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me se obrigam a fornece-los a seus empregados, sem qualquer ônus, ao número de 02 (dois) ao ano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QUINQUAGÉSIMA PRIMEIRA - MAQUILAGE</w:t>
                  </w:r>
                  <w:r>
                    <w:rPr>
                      <w:rFonts w:eastAsia="Times New Roman"/>
                      <w:b/>
                      <w:bCs/>
                    </w:rPr>
                    <w:t>M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divId w:val="1425807707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As empresas que exigirem que as empregadas trabalhem maquiladas, fornecerão o material necessário, adequado à tez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da empregada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142580770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Aceitação de Atestados Médicos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142580770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QUINQUAGÉSIMA SEGUNDA - ATESTADOS DE DOENÇ</w:t>
                  </w:r>
                  <w:r>
                    <w:rPr>
                      <w:rFonts w:eastAsia="Times New Roman"/>
                      <w:b/>
                      <w:bCs/>
                    </w:rPr>
                    <w:t>A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72387401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       As empresas aceitarão atestados de doença para a justificativa de falta ao serviço, expedidos por médicos particulares desde que conveniados com o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INSS.</w:t>
                  </w:r>
                </w:p>
                <w:p w:rsidR="00000000" w:rsidRDefault="00325470">
                  <w:pPr>
                    <w:divId w:val="72387401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72387401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Profissionais de Saúde e Segurança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72387401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QUINQUAGÉSIMA TERCEIRA - SEGURANÇA E MEDICINA DO TRABALH</w:t>
                  </w:r>
                  <w:r>
                    <w:rPr>
                      <w:rFonts w:eastAsia="Times New Roman"/>
                      <w:b/>
                      <w:bCs/>
                    </w:rPr>
                    <w:t>O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59130615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Ficam desobrigadas de indicar médico coordenador do PCMSO as empresas de grau de risco 1 e 2, segundo o Quadro I da NR 4, com até 50 (cinqüenta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) empregados.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59130615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       As empresas com até 20 (vinte) empregados, enquadradas no grau de risco 3 ou 4, segundo o Quadro I da NR 4, ficam desobrigadas de indicar médico do trabalho coordenador do PCMSO.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59130615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       As empresas enquadradas no grau de risco 1 ou 2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do Quadro I da NR 4, estarão obrigadas a realizar exame médico demissional até a data da homologação da rescisão contratual, desde que o último exame médico ocupacional tenha sido realizado há mais de 270 (duzentos e setenta) dias.</w:t>
                  </w:r>
                </w:p>
                <w:p w:rsidR="00000000" w:rsidRDefault="00325470">
                  <w:pPr>
                    <w:divId w:val="1591306155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   As empresas enq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uadradas no grau de risco 3 ou 4 do Quadro I da NR 4, estarão obrigadas a realizar o exame médico demissional até a data da homologação da rescisão contratual, desde que o último exame médico ocupacional tenha sido realizado há mais de 180 (cento e oitenta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) dias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159130615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Relações Sindicais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159130615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Contribuições Sindicais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159130615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QUINQUAGÉSIMA QUARTA - GUIAS DE PAGAMENTO CONTRIBUIÇÃO SINDICA</w:t>
                  </w:r>
                  <w:r>
                    <w:rPr>
                      <w:rFonts w:eastAsia="Times New Roman"/>
                      <w:b/>
                      <w:bCs/>
                    </w:rPr>
                    <w:t>L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divId w:val="1033844382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As empresas encaminharão à entidade suscitante cópia das guias de Contribuição Sindical e do Desconto Assistencial, acompanhada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da relação nominal dos empregados, no prazo máximo de 30 (trinta) dias após o respectivo recolhimento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QUINQUAGÉSIMA QUINTA - DESCONTO ASSISTENCIAL EMPREGADO</w:t>
                  </w:r>
                  <w:r>
                    <w:rPr>
                      <w:rFonts w:eastAsia="Times New Roman"/>
                      <w:b/>
                      <w:bCs/>
                    </w:rPr>
                    <w:t>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885092089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As empresas ficam obrigadas a descontar de todos os seus empregados, sindicalizados ou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não, beneficiados ou não com as cláusulas do presente acordo, qualquer que seja a forma de remuneração, valor equivalente a 1,5 (um e meio) dias da remuneração do mês de março/11, já reajustada, e 1,5 (um e meio) dia da remuneração vigente no mês de abril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/11, a ser repassado aos cofres do </w:t>
                  </w: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Sindicato dos Empregados no Comércio de São Gabriel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, até o dia 10 (dez) do mês subsequente ao desconto, respectivamente, sob pena das cominações previstas no artigo 600 da CLT.</w:t>
                  </w:r>
                </w:p>
                <w:p w:rsidR="00000000" w:rsidRDefault="00325470">
                  <w:pPr>
                    <w:divId w:val="1885092089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PARÁGRAFO ÚNICO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      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O desconto a que se refere a presente cláusula fica condicionado a não oposição pelo empregado, manifestadas junto ao sindicato profissional, em até 10 (dez) dias antes do pagamento do primeiro salário reajustado nos termos do presente acordo.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QU</w:t>
                  </w:r>
                  <w:r>
                    <w:rPr>
                      <w:rFonts w:eastAsia="Times New Roman"/>
                      <w:b/>
                      <w:bCs/>
                    </w:rPr>
                    <w:t>INQUAGÉSIMA SEXTA - CONTRIBUIÇÃO ASSISTENCIAL PATRONA</w:t>
                  </w:r>
                  <w:r>
                    <w:rPr>
                      <w:rFonts w:eastAsia="Times New Roman"/>
                      <w:b/>
                      <w:bCs/>
                    </w:rPr>
                    <w:t>L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622415908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I) Sindicato Intermunicipal do Comércio Varejista de Gêneros Alimentícios do Estado do RGS: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62241590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       As empresas representadas pelo </w:t>
                  </w: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Sindicato Intermunicipal do Comércio Varejista de Gêneros Alimentício</w:t>
                  </w: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s do Estado do Rio Grande do Sul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, ficam obrigadas a recolher, aos cofres da entidade, mediante guias próprias e em estabelecimentos bancários indicados, importância equivalente a 1,5 (um dia e meio) do total da folha de pagamento de março de 2011, já reaju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stado e vigente à época do pagamento. O recolhimento deverá ser efetuado até 10 (dez) de abril de 2011, sob pena das cominações previstas no artigo 600 da CLT.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622415908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PARÁGRAFO ÚNICO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sz w:val="20"/>
                      <w:szCs w:val="20"/>
                    </w:rPr>
                    <w:br/>
                    <w:t xml:space="preserve">        Nenhuma empresa, possuindo ou não empregados, poderá contribuir a este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título com importância inferior a R$ 28,00 (vinte e oito reais), sob pena das cominações do art. 600 da CLT. O recolhimento deverá ser efetuado até 10 (dez) de abril de 2011, sob pena das cominações previstas no artigo 600 da CLT.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</w:rPr>
                    <w:t>       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622415908"/>
                  </w:pPr>
                  <w:r>
                    <w:t> 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62241590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II) Sindicato do Comércio Varejista Produtos Farmacêuticos do Estado do RGS: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622415908"/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       As empresas representadas pelo </w:t>
                  </w: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Sindicato do Comércio Varejista de Produtos Farmacêuticos do Estado do Rio Grande do Sul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, ficam obrigadas a recolher, aos cofres da entidade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, mediante guias próprias e em estabelecimentos bancários indicados, importância equivalente a R$ 68,00 (sesenta e oito reais) por empresa que possuir empregados e R$ 48,00 (quarenta e oito reais) para empresa que não tiver empregados,  inclusive para cada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filial. O recolhimento deverá ser efetuado até 10 (dez) de abril de 2011, sob pena das cominações previstas no artigo 600 da CLT.</w:t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622415908"/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III) Sindicato dos Estabelecimentos Serviços Funerários do Estado do RGS: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sz w:val="20"/>
                      <w:szCs w:val="20"/>
                    </w:rPr>
                    <w:br/>
                    <w:t xml:space="preserve">        As empresas representadas pelo </w:t>
                  </w: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Sindicato </w:t>
                  </w: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dos Estabelecimentos de Serviços Funerários do Estado do RGS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, ficam obrigadas a recolher, aos cofres da entidade, mediante guias próprias e em estabelecimentos bancários indicados, importância equivalente a 02 (dois) dias de salário, já reajustado e vigent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e à época do pagamento. O recolhimento deverá ser efetuado até </w:t>
                  </w: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10.ABR.2011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, sob pena das cominações previstas no artigo 600 da CLT. Nenhuma empresa, possuindo ou não empregados, poderá contribuir a este título com importância inferior a R$ 100,00 (cem reai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s), valor este que sofrerá a incidência de correção monetária após expirado o prazo para pagamento ora estabelecido.</w:t>
                  </w:r>
                </w:p>
                <w:p w:rsidR="00000000" w:rsidRDefault="00325470">
                  <w:pPr>
                    <w:divId w:val="162241590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162241590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Disposições Gerais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162241590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Regras para a Negociação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162241590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QUINQUAGÉSIMA SÉTIMA - REGRAS DE VIGÊNCI</w:t>
                  </w:r>
                  <w:r>
                    <w:rPr>
                      <w:rFonts w:eastAsia="Times New Roman"/>
                      <w:b/>
                      <w:bCs/>
                    </w:rPr>
                    <w:t>A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divId w:val="27086101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     As condiçoes estabelecidas na p</w:t>
                  </w:r>
                  <w:r>
                    <w:rPr>
                      <w:rFonts w:eastAsia="Times New Roman"/>
                    </w:rPr>
                    <w:t>resente convenção coletiva de trabalho vigoram pelo prazo de 24 (vinte e quatro) meses, a partir de 01 de junho de 2009, não integrando,  de forma definitiva, após expirado o prazo de vigência, os contratos individuais de trabalho</w:t>
                  </w:r>
                  <w:r>
                    <w:rPr>
                      <w:rFonts w:eastAsia="Times New Roman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jc w:val="center"/>
                    <w:divId w:val="27086101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Outras Disposições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25470">
                  <w:pPr>
                    <w:divId w:val="27086101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</w:t>
                  </w:r>
                  <w:r>
                    <w:rPr>
                      <w:rFonts w:eastAsia="Times New Roman"/>
                      <w:b/>
                      <w:bCs/>
                    </w:rPr>
                    <w:t>USULA QUINQUAGÉSIMA OITAVA - CONFERÊNCIA DE CAIX</w:t>
                  </w:r>
                  <w:r>
                    <w:rPr>
                      <w:rFonts w:eastAsia="Times New Roman"/>
                      <w:b/>
                      <w:bCs/>
                    </w:rPr>
                    <w:t>A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88834685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A conferência de caixa será efetuada à vista do empregado por ela responsável, sob pena de resultar inimputável a este qualquer irregularidade ou diferença.</w:t>
                  </w:r>
                </w:p>
                <w:p w:rsidR="00000000" w:rsidRDefault="00325470">
                  <w:pPr>
                    <w:divId w:val="88834685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QUINQUAGÉSIMA NONA - CHEQUES SEM COBER</w:t>
                  </w:r>
                  <w:r>
                    <w:rPr>
                      <w:rFonts w:eastAsia="Times New Roman"/>
                      <w:b/>
                      <w:bCs/>
                    </w:rPr>
                    <w:t>TUR</w:t>
                  </w:r>
                  <w:r>
                    <w:rPr>
                      <w:rFonts w:eastAsia="Times New Roman"/>
                      <w:b/>
                      <w:bCs/>
                    </w:rPr>
                    <w:t>A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25470">
                  <w:pPr>
                    <w:spacing w:before="100" w:beforeAutospacing="1" w:after="100" w:afterAutospacing="1"/>
                    <w:divId w:val="12354983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       As empresas não descontarão do salário de seus empregados que exerçam função de caixa ou equivalente, valores relativos a cheques sem cobertura ou fraudulentamente emitidos, desde que tenham sido cumpridas as formalidades exigidas pelo empreg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ador para a sua aceitação.</w:t>
                  </w:r>
                </w:p>
                <w:p w:rsidR="00000000" w:rsidRDefault="00325470">
                  <w:pPr>
                    <w:divId w:val="12354983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</w:p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328"/>
                  </w:tblGrid>
                  <w:tr w:rsidR="00000000">
                    <w:trPr>
                      <w:divId w:val="123549831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2547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VALDEMIR DE ANDRADE JOBIM</w:t>
                        </w:r>
                        <w:r>
                          <w:rPr>
                            <w:rFonts w:eastAsia="Times New Roman"/>
                          </w:rPr>
                          <w:br/>
                          <w:t>Procurador</w:t>
                        </w:r>
                        <w:r>
                          <w:rPr>
                            <w:rFonts w:eastAsia="Times New Roman"/>
                          </w:rPr>
                          <w:br/>
                          <w:t>SINDICATO DOS EMPREGADOS NO COMERCIO DE SAO GABRIEL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>ANTONIO JOB BARRETO</w:t>
                        </w:r>
                        <w:r>
                          <w:rPr>
                            <w:rFonts w:eastAsia="Times New Roman"/>
                          </w:rPr>
                          <w:br/>
                          <w:t>Procurador</w:t>
                        </w:r>
                        <w:r>
                          <w:rPr>
                            <w:rFonts w:eastAsia="Times New Roman"/>
                          </w:rPr>
                          <w:br/>
                          <w:t>SINDICATO DO COM VAREJ DE PROD FARMACEUTICOS NO EST RGS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>ANTONIO JOB BARRETO</w:t>
                        </w:r>
                        <w:r>
                          <w:rPr>
                            <w:rFonts w:eastAsia="Times New Roman"/>
                          </w:rPr>
                          <w:br/>
                          <w:t>Procurador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SINDICATO DOS </w:t>
                        </w:r>
                        <w:r>
                          <w:rPr>
                            <w:rFonts w:eastAsia="Times New Roman"/>
                          </w:rPr>
                          <w:t>ESTABELECIMENTOS DE SERVICOS FUNERARIOS DO ESTADO DO RS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>ANTONIO JOB BARRETO</w:t>
                        </w:r>
                        <w:r>
                          <w:rPr>
                            <w:rFonts w:eastAsia="Times New Roman"/>
                          </w:rPr>
                          <w:br/>
                          <w:t>Procurador</w:t>
                        </w:r>
                        <w:r>
                          <w:rPr>
                            <w:rFonts w:eastAsia="Times New Roman"/>
                          </w:rPr>
                          <w:br/>
                          <w:t>SINDICATO INTERMUNICIPAL DO COMERCIO VAREJISTA DE GENEROS ALIMENTICIOS DO ESTADO DO RIO GRANDE DO SUL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325470">
                  <w:pPr>
                    <w:divId w:val="12354983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   A autenticidade deste documento poderá ser confirmada na pág</w:t>
                  </w:r>
                  <w:r>
                    <w:rPr>
                      <w:rFonts w:eastAsia="Times New Roman"/>
                    </w:rPr>
                    <w:t>ina do Ministério do Trabalho e Emprego na Internet, no endereço http://www.mte.gov.br .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br/>
                  </w:r>
                </w:p>
              </w:tc>
            </w:tr>
          </w:tbl>
          <w:p w:rsidR="00000000" w:rsidRDefault="00325470">
            <w:pPr>
              <w:rPr>
                <w:rFonts w:eastAsia="Times New Roman"/>
              </w:rPr>
            </w:pPr>
          </w:p>
        </w:tc>
      </w:tr>
    </w:tbl>
    <w:p w:rsidR="00325470" w:rsidRDefault="00325470">
      <w:pPr>
        <w:rPr>
          <w:rFonts w:eastAsia="Times New Roman"/>
        </w:rPr>
      </w:pPr>
    </w:p>
    <w:sectPr w:rsidR="003254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hyphenationZone w:val="425"/>
  <w:noPunctuationKerning/>
  <w:characterSpacingControl w:val="doNotCompress"/>
  <w:compat/>
  <w:rsids>
    <w:rsidRoot w:val="004B50C7"/>
    <w:rsid w:val="00325470"/>
    <w:rsid w:val="004B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1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8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96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7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0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74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8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21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80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537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414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874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308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212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032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82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6059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556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305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3883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8976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288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48543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4784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4695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07960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89340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30978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111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3823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608442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717896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417989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149855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347750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00434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501078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13380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00920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801725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8596657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6558858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6647194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2580770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2387401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913061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3384438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8509208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2241590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7086101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8834685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354983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4998</Words>
  <Characters>26993</Characters>
  <Application>Microsoft Office Word</Application>
  <DocSecurity>0</DocSecurity>
  <Lines>224</Lines>
  <Paragraphs>63</Paragraphs>
  <ScaleCrop>false</ScaleCrop>
  <Company/>
  <LinksUpToDate>false</LinksUpToDate>
  <CharactersWithSpaces>31928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2</cp:revision>
  <dcterms:created xsi:type="dcterms:W3CDTF">2011-04-27T13:44:00Z</dcterms:created>
  <dcterms:modified xsi:type="dcterms:W3CDTF">2011-04-27T13:44:00Z</dcterms:modified>
</cp:coreProperties>
</file>